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-605790</wp:posOffset>
            </wp:positionV>
            <wp:extent cx="8255" cy="606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6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3999865</wp:posOffset>
            </wp:positionH>
            <wp:positionV relativeFrom="paragraph">
              <wp:posOffset>-614045</wp:posOffset>
            </wp:positionV>
            <wp:extent cx="8255" cy="6146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4024630</wp:posOffset>
            </wp:positionH>
            <wp:positionV relativeFrom="paragraph">
              <wp:posOffset>-589915</wp:posOffset>
            </wp:positionV>
            <wp:extent cx="1262380" cy="5657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2380" cy="565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7855" cy="16148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1614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Saunders Ninfa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101 HARTWELL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T2 Biosystems,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TTOO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01/01/2021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-3" w:right="640" w:firstLine="3"/>
        <w:spacing w:after="0" w:line="238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7"/>
        <w:spacing w:after="0"/>
        <w:tabs>
          <w:tab w:leader="none" w:pos="516" w:val="left"/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LEXINGTON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02421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-2473960</wp:posOffset>
            </wp:positionH>
            <wp:positionV relativeFrom="paragraph">
              <wp:posOffset>200660</wp:posOffset>
            </wp:positionV>
            <wp:extent cx="6967855" cy="8769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876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-15875</wp:posOffset>
            </wp:positionV>
            <wp:extent cx="7033895" cy="200850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008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32,258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01/01/2021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32,258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32,258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8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to receive one share of the Issuer's common stock.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were granted in accordance with the Issuer's Non-Employee Director Compensation Plan and vest on January 1, 2022.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6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John Sprague,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2540</wp:posOffset>
            </wp:positionV>
            <wp:extent cx="12903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15938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3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01/05/2021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2540</wp:posOffset>
            </wp:positionV>
            <wp:extent cx="48577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40" w:space="160"/>
            <w:col w:w="2280"/>
          </w:cols>
          <w:pgMar w:left="460" w:top="221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815499" TargetMode="External"/><Relationship Id="rId14" Type="http://schemas.openxmlformats.org/officeDocument/2006/relationships/hyperlink" Target="http://www.sec.gov/cgi-bin/browse-edgar?action=getcompany&amp;CIK=000149267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2021-01-05T14:08:01Z</dcterms:created>
  <dcterms:modified xsi:type="dcterms:W3CDTF">2021-01-05T14:08:01Z</dcterms:modified>
</cp:coreProperties>
</file>